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b/>
          <w:bCs/>
          <w:color w:val="595959"/>
          <w:sz w:val="18"/>
          <w:szCs w:val="18"/>
        </w:rPr>
        <w:t xml:space="preserve">2026 SACSCOC SUMMER INSTITUTE</w:t>
      </w:r>
    </w:p>
    <w:p>
      <w:pPr>
        <w:spacing w:after="30"/>
        <w:jc w:val="center"/>
      </w:pPr>
      <w:r>
        <w:rPr>
          <w:b/>
          <w:bCs/>
          <w:color w:val="1F3864"/>
          <w:sz w:val="32"/>
          <w:szCs w:val="32"/>
        </w:rPr>
        <w:t xml:space="preserve">Use-Case Prioritization Template</w:t>
      </w:r>
    </w:p>
    <w:p>
      <w:pPr>
        <w:pBdr>
          <w:bottom w:val="single" w:color="1F3864" w:sz="6" w:space="6"/>
        </w:pBdr>
        <w:spacing w:after="60"/>
        <w:jc w:val="center"/>
      </w:pPr>
      <w:r>
        <w:rPr>
          <w:i/>
          <w:iCs/>
          <w:color w:val="595959"/>
          <w:sz w:val="19"/>
          <w:szCs w:val="19"/>
        </w:rPr>
        <w:t>Implementing AI Across the Institution  ·  Dr. Kollin Napier, Chief Artificial Intelligence Officer, MAIN</w:t>
      </w:r>
    </w:p>
    <w:p>
      <w:pPr>
        <w:spacing w:after="120" w:before="120"/>
      </w:pPr>
      <w:r>
        <w:rPr>
          <w:sz w:val="20"/>
          <w:szCs w:val="20"/>
        </w:rPr>
        <w:t xml:space="preserve">Name: ______________________      Institution: ______________________      Date: ____________</w:t>
      </w:r>
    </w:p>
    <w:p>
      <w:pPr>
        <w:spacing w:after="140" w:line="300" w:lineRule="auto"/>
      </w:pPr>
      <w:r>
        <w:rPr>
          <w:color w:val="595959"/>
          <w:sz w:val="21"/>
          <w:szCs w:val="21"/>
        </w:rPr>
        <w:t>List the AI uses you are considering across academic, administrative, assessment, and student support functions. Rate each on value, feasibility, risk, and mission alignment (high, medium, or low), then mark your top one or two priorities to carry into your implementation plan.</w:t>
      </w:r>
    </w:p>
    <w:tbl>
      <w:tblPr>
        <w:tblW w:type="dxa" w:w="10640"/>
        <w:tblBorders>
          <w:top w:val="single" w:color="auto" w:sz="4"/>
          <w:left w:val="single" w:color="auto" w:sz="4"/>
          <w:bottom w:val="single" w:color="auto" w:sz="4"/>
          <w:right w:val="single" w:color="auto" w:sz="4"/>
          <w:insideH w:val="single" w:color="auto" w:sz="4"/>
          <w:insideV w:val="single" w:color="auto" w:sz="4"/>
        </w:tblBorders>
      </w:tblPr>
      <w:tblGrid>
        <w:gridCol w:w="561"/>
        <w:gridCol w:w="3484"/>
        <w:gridCol w:w="1368"/>
        <w:gridCol w:w="1368"/>
        <w:gridCol w:w="1368"/>
        <w:gridCol w:w="1440"/>
        <w:gridCol w:w="1036"/>
      </w:tblGrid>
      <w:tr>
        <w:trPr>
          <w:tblHeader/>
        </w:trPr>
        <w:tc>
          <w:tcPr>
            <w:tcW w:type="dxa" w:w="562"/>
            <w:tcBorders>
              <w:top w:val="single" w:color="BBBBBB" w:sz="4"/>
              <w:left w:val="single" w:color="BBBBBB" w:sz="4"/>
              <w:bottom w:val="single" w:color="BBBBBB" w:sz="4"/>
              <w:right w:val="single" w:color="BBBBBB" w:sz="4"/>
            </w:tcBorders>
            <w:shd w:fill="1F3864" w:color="auto" w:val="clear"/>
            <w:tcMar>
              <w:top w:type="dxa" w:w="60"/>
              <w:left w:type="dxa" w:w="110"/>
              <w:bottom w:type="dxa" w:w="60"/>
              <w:right w:type="dxa" w:w="110"/>
            </w:tcMar>
            <w:vAlign w:val="center"/>
          </w:tcPr>
          <w:p>
            <w:r>
              <w:rPr>
                <w:b/>
                <w:bCs/>
                <w:color w:val="FFFFFF"/>
                <w:sz w:val="19"/>
                <w:szCs w:val="19"/>
              </w:rPr>
              <w:t>#</w:t>
            </w:r>
          </w:p>
        </w:tc>
        <w:tc>
          <w:tcPr>
            <w:tcW w:type="dxa" w:w="3485"/>
            <w:tcBorders>
              <w:top w:val="single" w:color="BBBBBB" w:sz="4"/>
              <w:left w:val="single" w:color="BBBBBB" w:sz="4"/>
              <w:bottom w:val="single" w:color="BBBBBB" w:sz="4"/>
              <w:right w:val="single" w:color="BBBBBB" w:sz="4"/>
            </w:tcBorders>
            <w:shd w:fill="1F3864" w:color="auto" w:val="clear"/>
            <w:tcMar>
              <w:top w:type="dxa" w:w="60"/>
              <w:left w:type="dxa" w:w="110"/>
              <w:bottom w:type="dxa" w:w="60"/>
              <w:right w:type="dxa" w:w="110"/>
            </w:tcMar>
            <w:vAlign w:val="center"/>
          </w:tcPr>
          <w:p>
            <w:r>
              <w:rPr>
                <w:b/>
                <w:bCs/>
                <w:color w:val="FFFFFF"/>
                <w:sz w:val="19"/>
                <w:szCs w:val="19"/>
              </w:rPr>
              <w:t>Candidate AI use case and function area</w:t>
            </w:r>
          </w:p>
        </w:tc>
        <w:tc>
          <w:tcPr>
            <w:tcW w:type="dxa" w:w="1368"/>
            <w:tcBorders>
              <w:top w:val="single" w:color="BBBBBB" w:sz="4"/>
              <w:left w:val="single" w:color="BBBBBB" w:sz="4"/>
              <w:bottom w:val="single" w:color="BBBBBB" w:sz="4"/>
              <w:right w:val="single" w:color="BBBBBB" w:sz="4"/>
            </w:tcBorders>
            <w:shd w:fill="1F3864" w:color="auto" w:val="clear"/>
            <w:tcMar>
              <w:top w:type="dxa" w:w="60"/>
              <w:left w:type="dxa" w:w="110"/>
              <w:bottom w:type="dxa" w:w="60"/>
              <w:right w:type="dxa" w:w="110"/>
            </w:tcMar>
            <w:vAlign w:val="center"/>
          </w:tcPr>
          <w:p>
            <w:r>
              <w:rPr>
                <w:b/>
                <w:bCs/>
                <w:color w:val="FFFFFF"/>
                <w:sz w:val="19"/>
                <w:szCs w:val="19"/>
              </w:rPr>
              <w:t>Value</w:t>
            </w:r>
          </w:p>
        </w:tc>
        <w:tc>
          <w:tcPr>
            <w:tcW w:type="dxa" w:w="1368"/>
            <w:tcBorders>
              <w:top w:val="single" w:color="BBBBBB" w:sz="4"/>
              <w:left w:val="single" w:color="BBBBBB" w:sz="4"/>
              <w:bottom w:val="single" w:color="BBBBBB" w:sz="4"/>
              <w:right w:val="single" w:color="BBBBBB" w:sz="4"/>
            </w:tcBorders>
            <w:shd w:fill="1F3864" w:color="auto" w:val="clear"/>
            <w:tcMar>
              <w:top w:type="dxa" w:w="60"/>
              <w:left w:type="dxa" w:w="110"/>
              <w:bottom w:type="dxa" w:w="60"/>
              <w:right w:type="dxa" w:w="110"/>
            </w:tcMar>
            <w:vAlign w:val="center"/>
          </w:tcPr>
          <w:p>
            <w:r>
              <w:rPr>
                <w:b/>
                <w:bCs/>
                <w:color w:val="FFFFFF"/>
                <w:sz w:val="19"/>
                <w:szCs w:val="19"/>
              </w:rPr>
              <w:t>Feasibility</w:t>
            </w:r>
          </w:p>
        </w:tc>
        <w:tc>
          <w:tcPr>
            <w:tcW w:type="dxa" w:w="1368"/>
            <w:tcBorders>
              <w:top w:val="single" w:color="BBBBBB" w:sz="4"/>
              <w:left w:val="single" w:color="BBBBBB" w:sz="4"/>
              <w:bottom w:val="single" w:color="BBBBBB" w:sz="4"/>
              <w:right w:val="single" w:color="BBBBBB" w:sz="4"/>
            </w:tcBorders>
            <w:shd w:fill="1F3864" w:color="auto" w:val="clear"/>
            <w:tcMar>
              <w:top w:type="dxa" w:w="60"/>
              <w:left w:type="dxa" w:w="110"/>
              <w:bottom w:type="dxa" w:w="60"/>
              <w:right w:type="dxa" w:w="110"/>
            </w:tcMar>
            <w:vAlign w:val="center"/>
          </w:tcPr>
          <w:p>
            <w:r>
              <w:rPr>
                <w:b/>
                <w:bCs/>
                <w:color w:val="FFFFFF"/>
                <w:sz w:val="19"/>
                <w:szCs w:val="19"/>
              </w:rPr>
              <w:t>Risk</w:t>
            </w:r>
          </w:p>
        </w:tc>
        <w:tc>
          <w:tcPr>
            <w:tcW w:type="dxa" w:w="1440"/>
            <w:tcBorders>
              <w:top w:val="single" w:color="BBBBBB" w:sz="4"/>
              <w:left w:val="single" w:color="BBBBBB" w:sz="4"/>
              <w:bottom w:val="single" w:color="BBBBBB" w:sz="4"/>
              <w:right w:val="single" w:color="BBBBBB" w:sz="4"/>
            </w:tcBorders>
            <w:shd w:fill="1F3864" w:color="auto" w:val="clear"/>
            <w:tcMar>
              <w:top w:type="dxa" w:w="60"/>
              <w:left w:type="dxa" w:w="110"/>
              <w:bottom w:type="dxa" w:w="60"/>
              <w:right w:type="dxa" w:w="110"/>
            </w:tcMar>
            <w:vAlign w:val="center"/>
          </w:tcPr>
          <w:p>
            <w:r>
              <w:rPr>
                <w:b/>
                <w:bCs/>
                <w:color w:val="FFFFFF"/>
                <w:sz w:val="19"/>
                <w:szCs w:val="19"/>
              </w:rPr>
              <w:t>Mission alignment</w:t>
            </w:r>
          </w:p>
        </w:tc>
        <w:tc>
          <w:tcPr>
            <w:tcW w:type="dxa" w:w="1037"/>
            <w:tcBorders>
              <w:top w:val="single" w:color="BBBBBB" w:sz="4"/>
              <w:left w:val="single" w:color="BBBBBB" w:sz="4"/>
              <w:bottom w:val="single" w:color="BBBBBB" w:sz="4"/>
              <w:right w:val="single" w:color="BBBBBB" w:sz="4"/>
            </w:tcBorders>
            <w:shd w:fill="1F3864" w:color="auto" w:val="clear"/>
            <w:tcMar>
              <w:top w:type="dxa" w:w="60"/>
              <w:left w:type="dxa" w:w="110"/>
              <w:bottom w:type="dxa" w:w="60"/>
              <w:right w:type="dxa" w:w="110"/>
            </w:tcMar>
            <w:vAlign w:val="center"/>
          </w:tcPr>
          <w:p>
            <w:r>
              <w:rPr>
                <w:b/>
                <w:bCs/>
                <w:color w:val="FFFFFF"/>
                <w:sz w:val="19"/>
                <w:szCs w:val="19"/>
              </w:rPr>
              <w:t>Priority (1-3)</w:t>
            </w:r>
          </w:p>
        </w:tc>
      </w:tr>
      <w:tr>
        <w:trPr>
          <w:trHeight w:val="1094" w:hRule="atLeast"/>
        </w:trPr>
        <w:tc>
          <w:tcPr>
            <w:tcW w:type="dxa" w:w="562"/>
            <w:tcBorders>
              <w:top w:val="single" w:color="BBBBBB" w:sz="4"/>
              <w:left w:val="single" w:color="BBBBBB" w:sz="4"/>
              <w:bottom w:val="single" w:color="BBBBBB" w:sz="4"/>
              <w:right w:val="single" w:color="BBBBBB" w:sz="4"/>
            </w:tcBorders>
            <w:tcMar>
              <w:top w:type="dxa" w:w="60"/>
              <w:left w:type="dxa" w:w="110"/>
              <w:bottom w:type="dxa" w:w="60"/>
              <w:right w:type="dxa" w:w="110"/>
            </w:tcMar>
            <w:vAlign w:val="center"/>
          </w:tcPr>
          <w:p>
            <w:r>
              <w:rPr>
                <w:color w:val="595959"/>
                <w:sz w:val="20"/>
                <w:szCs w:val="20"/>
              </w:rPr>
              <w:t xml:space="preserve">1</w:t>
            </w:r>
          </w:p>
        </w:tc>
        <w:tc>
          <w:tcPr>
            <w:tcW w:type="dxa" w:w="3485"/>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440"/>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r>
          </w:p>
        </w:tc>
        <w:tc>
          <w:tcPr>
            <w:tcW w:type="dxa" w:w="1037"/>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r>
      <w:tr>
        <w:trPr>
          <w:trHeight w:val="1094" w:hRule="atLeast"/>
        </w:trPr>
        <w:tc>
          <w:tcPr>
            <w:tcW w:type="dxa" w:w="562"/>
            <w:tcBorders>
              <w:top w:val="single" w:color="BBBBBB" w:sz="4"/>
              <w:left w:val="single" w:color="BBBBBB" w:sz="4"/>
              <w:bottom w:val="single" w:color="BBBBBB" w:sz="4"/>
              <w:right w:val="single" w:color="BBBBBB" w:sz="4"/>
            </w:tcBorders>
            <w:tcMar>
              <w:top w:type="dxa" w:w="60"/>
              <w:left w:type="dxa" w:w="110"/>
              <w:bottom w:type="dxa" w:w="60"/>
              <w:right w:type="dxa" w:w="110"/>
            </w:tcMar>
            <w:vAlign w:val="center"/>
          </w:tcPr>
          <w:p>
            <w:r>
              <w:rPr>
                <w:color w:val="595959"/>
                <w:sz w:val="20"/>
                <w:szCs w:val="20"/>
              </w:rPr>
              <w:t xml:space="preserve">2</w:t>
            </w:r>
          </w:p>
        </w:tc>
        <w:tc>
          <w:tcPr>
            <w:tcW w:type="dxa" w:w="3485"/>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440"/>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r>
          </w:p>
        </w:tc>
        <w:tc>
          <w:tcPr>
            <w:tcW w:type="dxa" w:w="1037"/>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r>
      <w:tr>
        <w:trPr>
          <w:trHeight w:val="1094" w:hRule="atLeast"/>
        </w:trPr>
        <w:tc>
          <w:tcPr>
            <w:tcW w:type="dxa" w:w="562"/>
            <w:tcBorders>
              <w:top w:val="single" w:color="BBBBBB" w:sz="4"/>
              <w:left w:val="single" w:color="BBBBBB" w:sz="4"/>
              <w:bottom w:val="single" w:color="BBBBBB" w:sz="4"/>
              <w:right w:val="single" w:color="BBBBBB" w:sz="4"/>
            </w:tcBorders>
            <w:tcMar>
              <w:top w:type="dxa" w:w="60"/>
              <w:left w:type="dxa" w:w="110"/>
              <w:bottom w:type="dxa" w:w="60"/>
              <w:right w:type="dxa" w:w="110"/>
            </w:tcMar>
            <w:vAlign w:val="center"/>
          </w:tcPr>
          <w:p>
            <w:r>
              <w:rPr>
                <w:color w:val="595959"/>
                <w:sz w:val="20"/>
                <w:szCs w:val="20"/>
              </w:rPr>
              <w:t xml:space="preserve">3</w:t>
            </w:r>
          </w:p>
        </w:tc>
        <w:tc>
          <w:tcPr>
            <w:tcW w:type="dxa" w:w="3485"/>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440"/>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r>
          </w:p>
        </w:tc>
        <w:tc>
          <w:tcPr>
            <w:tcW w:type="dxa" w:w="1037"/>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r>
      <w:tr>
        <w:trPr>
          <w:trHeight w:val="1094" w:hRule="atLeast"/>
        </w:trPr>
        <w:tc>
          <w:tcPr>
            <w:tcW w:type="dxa" w:w="562"/>
            <w:tcBorders>
              <w:top w:val="single" w:color="BBBBBB" w:sz="4"/>
              <w:left w:val="single" w:color="BBBBBB" w:sz="4"/>
              <w:bottom w:val="single" w:color="BBBBBB" w:sz="4"/>
              <w:right w:val="single" w:color="BBBBBB" w:sz="4"/>
            </w:tcBorders>
            <w:tcMar>
              <w:top w:type="dxa" w:w="60"/>
              <w:left w:type="dxa" w:w="110"/>
              <w:bottom w:type="dxa" w:w="60"/>
              <w:right w:type="dxa" w:w="110"/>
            </w:tcMar>
            <w:vAlign w:val="center"/>
          </w:tcPr>
          <w:p>
            <w:r>
              <w:rPr>
                <w:color w:val="595959"/>
                <w:sz w:val="20"/>
                <w:szCs w:val="20"/>
              </w:rPr>
              <w:t xml:space="preserve">4</w:t>
            </w:r>
          </w:p>
        </w:tc>
        <w:tc>
          <w:tcPr>
            <w:tcW w:type="dxa" w:w="3485"/>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440"/>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r>
          </w:p>
        </w:tc>
        <w:tc>
          <w:tcPr>
            <w:tcW w:type="dxa" w:w="1037"/>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r>
      <w:tr>
        <w:trPr>
          <w:trHeight w:val="1094" w:hRule="atLeast"/>
        </w:trPr>
        <w:tc>
          <w:tcPr>
            <w:tcW w:type="dxa" w:w="562"/>
            <w:tcBorders>
              <w:top w:val="single" w:color="BBBBBB" w:sz="4"/>
              <w:left w:val="single" w:color="BBBBBB" w:sz="4"/>
              <w:bottom w:val="single" w:color="BBBBBB" w:sz="4"/>
              <w:right w:val="single" w:color="BBBBBB" w:sz="4"/>
            </w:tcBorders>
            <w:tcMar>
              <w:top w:type="dxa" w:w="60"/>
              <w:left w:type="dxa" w:w="110"/>
              <w:bottom w:type="dxa" w:w="60"/>
              <w:right w:type="dxa" w:w="110"/>
            </w:tcMar>
            <w:vAlign w:val="center"/>
          </w:tcPr>
          <w:p>
            <w:r>
              <w:rPr>
                <w:color w:val="595959"/>
                <w:sz w:val="20"/>
                <w:szCs w:val="20"/>
              </w:rPr>
              <w:t xml:space="preserve">5</w:t>
            </w:r>
          </w:p>
        </w:tc>
        <w:tc>
          <w:tcPr>
            <w:tcW w:type="dxa" w:w="3485"/>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440"/>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r>
          </w:p>
        </w:tc>
        <w:tc>
          <w:tcPr>
            <w:tcW w:type="dxa" w:w="1037"/>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r>
      <w:tr>
        <w:trPr>
          <w:trHeight w:val="1094" w:hRule="atLeast"/>
        </w:trPr>
        <w:tc>
          <w:tcPr>
            <w:tcW w:type="dxa" w:w="562"/>
            <w:tcBorders>
              <w:top w:val="single" w:color="BBBBBB" w:sz="4"/>
              <w:left w:val="single" w:color="BBBBBB" w:sz="4"/>
              <w:bottom w:val="single" w:color="BBBBBB" w:sz="4"/>
              <w:right w:val="single" w:color="BBBBBB" w:sz="4"/>
            </w:tcBorders>
            <w:tcMar>
              <w:top w:type="dxa" w:w="60"/>
              <w:left w:type="dxa" w:w="110"/>
              <w:bottom w:type="dxa" w:w="60"/>
              <w:right w:type="dxa" w:w="110"/>
            </w:tcMar>
            <w:vAlign w:val="center"/>
          </w:tcPr>
          <w:p>
            <w:r>
              <w:rPr>
                <w:color w:val="595959"/>
                <w:sz w:val="20"/>
                <w:szCs w:val="20"/>
              </w:rPr>
              <w:t xml:space="preserve">6</w:t>
            </w:r>
          </w:p>
        </w:tc>
        <w:tc>
          <w:tcPr>
            <w:tcW w:type="dxa" w:w="3485"/>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440"/>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r>
          </w:p>
        </w:tc>
        <w:tc>
          <w:tcPr>
            <w:tcW w:type="dxa" w:w="1037"/>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r>
      <w:tr>
        <w:trPr>
          <w:trHeight w:val="1094" w:hRule="atLeast"/>
        </w:trPr>
        <w:tc>
          <w:tcPr>
            <w:tcW w:type="dxa" w:w="562"/>
            <w:tcBorders>
              <w:top w:val="single" w:color="BBBBBB" w:sz="4"/>
              <w:left w:val="single" w:color="BBBBBB" w:sz="4"/>
              <w:bottom w:val="single" w:color="BBBBBB" w:sz="4"/>
              <w:right w:val="single" w:color="BBBBBB" w:sz="4"/>
            </w:tcBorders>
            <w:tcMar>
              <w:top w:type="dxa" w:w="60"/>
              <w:left w:type="dxa" w:w="110"/>
              <w:bottom w:type="dxa" w:w="60"/>
              <w:right w:type="dxa" w:w="110"/>
            </w:tcMar>
            <w:vAlign w:val="center"/>
          </w:tcPr>
          <w:p>
            <w:r>
              <w:rPr>
                <w:color w:val="595959"/>
                <w:sz w:val="20"/>
                <w:szCs w:val="20"/>
              </w:rPr>
              <w:t xml:space="preserve">7</w:t>
            </w:r>
          </w:p>
        </w:tc>
        <w:tc>
          <w:tcPr>
            <w:tcW w:type="dxa" w:w="3485"/>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440"/>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r>
          </w:p>
        </w:tc>
        <w:tc>
          <w:tcPr>
            <w:tcW w:type="dxa" w:w="1037"/>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r>
      <w:tr>
        <w:trPr>
          <w:trHeight w:val="1094" w:hRule="atLeast"/>
        </w:trPr>
        <w:tc>
          <w:tcPr>
            <w:tcW w:type="dxa" w:w="562"/>
            <w:tcBorders>
              <w:top w:val="single" w:color="BBBBBB" w:sz="4"/>
              <w:left w:val="single" w:color="BBBBBB" w:sz="4"/>
              <w:bottom w:val="single" w:color="BBBBBB" w:sz="4"/>
              <w:right w:val="single" w:color="BBBBBB" w:sz="4"/>
            </w:tcBorders>
            <w:tcMar>
              <w:top w:type="dxa" w:w="60"/>
              <w:left w:type="dxa" w:w="110"/>
              <w:bottom w:type="dxa" w:w="60"/>
              <w:right w:type="dxa" w:w="110"/>
            </w:tcMar>
            <w:vAlign w:val="center"/>
          </w:tcPr>
          <w:p>
            <w:r>
              <w:rPr>
                <w:color w:val="595959"/>
                <w:sz w:val="20"/>
                <w:szCs w:val="20"/>
              </w:rPr>
              <w:t xml:space="preserve">8</w:t>
            </w:r>
          </w:p>
        </w:tc>
        <w:tc>
          <w:tcPr>
            <w:tcW w:type="dxa" w:w="3485"/>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368"/>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c>
          <w:tcPr>
            <w:tcW w:type="dxa" w:w="1440"/>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r>
          </w:p>
        </w:tc>
        <w:tc>
          <w:tcPr>
            <w:tcW w:type="dxa" w:w="1037"/>
            <w:tcBorders>
              <w:top w:val="single" w:color="BBBBBB" w:sz="4"/>
              <w:left w:val="single" w:color="BBBBBB" w:sz="4"/>
              <w:bottom w:val="single" w:color="BBBBBB" w:sz="4"/>
              <w:right w:val="single" w:color="BBBBBB" w:sz="4"/>
            </w:tcBorders>
            <w:tcMar>
              <w:top w:type="dxa" w:w="60"/>
              <w:left w:type="dxa" w:w="110"/>
              <w:bottom w:type="dxa" w:w="60"/>
              <w:right w:type="dxa" w:w="110"/>
            </w:tcMar>
          </w:tcPr>
          <w:p>
            <w:r>
              <w:rPr>
                <w:sz w:val="20"/>
                <w:szCs w:val="20"/>
              </w:rPr>
              <w:t xml:space="preserve"/>
            </w:r>
          </w:p>
        </w:tc>
      </w:tr>
    </w:tbl>
    <w:p>
      <w:pPr>
        <w:spacing w:before="160"/>
      </w:pPr>
      <w:r>
        <w:rPr>
          <w:i/>
          <w:iCs/>
          <w:color w:val="595959"/>
          <w:sz w:val="20"/>
          <w:szCs w:val="20"/>
        </w:rPr>
        <w:t>Tip: a strong first move is usually high value, high feasibility, and low risk with clear mission alignment, not the most ambitious idea.</w:t>
      </w:r>
    </w:p>
    <w:sectPr>
      <w:footerReference w:type="default" r:id="rId7"/>
      <w:pgSz w:w="12240" w:h="15840" w:orient="portrait"/>
      <w:pgMar w:top="800" w:right="800" w:bottom="8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jc w:val="center"/>
    </w:pPr>
    <w:r>
      <w:rPr>
        <w:color w:val="808080"/>
        <w:sz w:val="16"/>
        <w:szCs w:val="16"/>
      </w:rPr>
      <w:t xml:space="preserve">Mississippi Artificial Intelligence Network (MAIN)  ·  </w:t>
    </w:r>
    <w:hyperlink w:history="1" r:id="rIdcd5ju9__u5bbebic1wzyj">
      <w:r>
        <w:rPr>
          <w:color w:val="808080"/>
          <w:sz w:val="16"/>
          <w:szCs w:val="16"/>
        </w:rPr>
        <w:t xml:space="preserve">mainms.org</w:t>
      </w:r>
    </w:hyperlink>
    <w:r>
      <w:rPr>
        <w:color w:val="808080"/>
        <w:sz w:val="16"/>
        <w:szCs w:val="16"/>
      </w:rPr>
      <w:t xml:space="preserve">  ·  kollin.napier@mgccc.edu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footer1.xml.rels><?xml version='1.0' encoding='UTF-8' standalone='yes'?>
<Relationships xmlns="http://schemas.openxmlformats.org/package/2006/relationships"><Relationship Id="rIdcd5ju9__u5bbebic1wzyj" Type="http://schemas.openxmlformats.org/officeDocument/2006/relationships/hyperlink" Target="https://mainms.org/" TargetMode="Externa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2026-06-26T20:50:11.809Z</dcterms:created>
  <dcterms:modified xsi:type="dcterms:W3CDTF">2026-06-26T20:50:11.809Z</dcterms:modified>
</cp:coreProperties>
</file>

<file path=docProps/custom.xml><?xml version="1.0" encoding="utf-8"?>
<Properties xmlns="http://schemas.openxmlformats.org/officeDocument/2006/custom-properties" xmlns:vt="http://schemas.openxmlformats.org/officeDocument/2006/docPropsVTypes"/>
</file>