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595959"/>
          <w:sz w:val="18"/>
          <w:szCs w:val="18"/>
        </w:rPr>
        <w:t xml:space="preserve">2026 SACSCOC SUMMER INSTITUTE</w:t>
      </w:r>
    </w:p>
    <w:p>
      <w:pPr>
        <w:spacing w:after="30"/>
        <w:jc w:val="center"/>
      </w:pPr>
      <w:r>
        <w:rPr>
          <w:b/>
          <w:bCs/>
          <w:color w:val="1F3864"/>
          <w:sz w:val="32"/>
          <w:szCs w:val="32"/>
        </w:rPr>
        <w:t xml:space="preserve">One-Page Campus Implementation Plan</w:t>
      </w:r>
    </w:p>
    <w:p>
      <w:pPr>
        <w:pBdr>
          <w:bottom w:val="single" w:color="1F3864" w:sz="6" w:space="6"/>
        </w:pBdr>
        <w:spacing w:after="60"/>
        <w:jc w:val="center"/>
      </w:pPr>
      <w:r>
        <w:rPr>
          <w:i/>
          <w:iCs/>
          <w:color w:val="595959"/>
          <w:sz w:val="19"/>
          <w:szCs w:val="19"/>
        </w:rPr>
        <w:t>Implementing AI Across the Institution  ·  Dr. Kollin Napier, Chief Artificial Intelligence Officer, MAIN</w:t>
      </w:r>
    </w:p>
    <w:p>
      <w:pPr>
        <w:spacing w:after="120" w:before="120"/>
      </w:pPr>
      <w:r>
        <w:rPr>
          <w:sz w:val="20"/>
          <w:szCs w:val="20"/>
        </w:rPr>
        <w:t xml:space="preserve">Name: ______________________      Institution: ______________________      Date: ____________</w:t>
      </w:r>
    </w:p>
    <w:p>
      <w:pPr>
        <w:spacing w:after="140" w:line="300" w:lineRule="auto"/>
      </w:pPr>
      <w:r>
        <w:rPr>
          <w:color w:val="595959"/>
          <w:sz w:val="21"/>
          <w:szCs w:val="21"/>
        </w:rPr>
        <w:t xml:space="preserve">Use this page to capture your plan during the session. Each row maps to one of the session outcomes. Keep it short; this is the one page you carry back to campus.</w:t>
      </w:r>
    </w:p>
    <w:tbl>
      <w:tblPr>
        <w:tblW w:type="dxa" w:w="10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w="40" w:type="dxa"/>
          <w:bottom w:w="40" w:type="dxa"/>
          <w:left w:w="110" w:type="dxa"/>
          <w:right w:w="110" w:type="dxa"/>
        </w:tblCellMar>
      </w:tblPr>
      <w:tblGrid>
        <w:gridCol w:w="3600"/>
        <w:gridCol w:w="7040"/>
      </w:tblGrid>
      <w:tr>
        <w:trPr>
          <w:trHeight w:val="748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Priority AI use case (function or area)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92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The opportunity: what it would do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92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Why it is high value in the next 12 months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06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Top readiness strength to build on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06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Top readiness constraint to address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06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Essential stakeholder group(s)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92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Engagement or capacity-building step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123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Near-term action steps (next 90 days)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92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Resources required and funding source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06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Responsible-use practice to apply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06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How I will measure progress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835" w:hRule="atLeast"/>
        </w:trP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Scaling or next step beyond this term</w:t>
            </w:r>
          </w:p>
        </w:tc>
        <w:tc>
          <w:tcPr>
            <w:tcW w:type="dxa" w:w="70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</w:tcPr>
          <w:p>
            <w:pPr>
              <w:spacing w:before="0" w:after="0" w:line="240" w:lineRule="auto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800" w:right="800" w:bottom="8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08080"/>
        <w:sz w:val="16"/>
        <w:szCs w:val="16"/>
      </w:rPr>
      <w:t xml:space="preserve">Mississippi Artificial Intelligence Network (MAIN)  ·  </w:t>
    </w:r>
    <w:hyperlink w:history="1" r:id="rIdfybvn7dyf-nxex6hwo3nl">
      <w:r>
        <w:rPr>
          <w:color w:val="808080"/>
          <w:sz w:val="16"/>
          <w:szCs w:val="16"/>
        </w:rPr>
        <w:t xml:space="preserve">mainms.org</w:t>
      </w:r>
    </w:hyperlink>
    <w:r>
      <w:rPr>
        <w:color w:val="808080"/>
        <w:sz w:val="16"/>
        <w:szCs w:val="16"/>
      </w:rPr>
      <w:t xml:space="preserve">  ·  kollin.napier@mgccc.edu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fybvn7dyf-nxex6hwo3nl" Type="http://schemas.openxmlformats.org/officeDocument/2006/relationships/hyperlink" Target="https://mainms.org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2026-06-26T20:46:42.598Z</dcterms:created>
  <dcterms:modified xsi:type="dcterms:W3CDTF">2026-06-26T20:46:42.598Z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