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100"/>
      </w:pPr>
      <w:r>
        <w:rPr>
          <w:rFonts w:ascii="Calibri" w:hAnsi="Calibri" w:eastAsia="Calibri"/>
          <w:b/>
          <w:color w:val="0F6F83"/>
          <w:sz w:val="18"/>
        </w:rPr>
        <w:t>2026 SACSCOC SUMMER INSTITUTE</w:t>
      </w:r>
    </w:p>
    <w:p>
      <w:pPr>
        <w:widowControl/>
        <w:spacing w:after="80"/>
      </w:pPr>
      <w:r>
        <w:rPr>
          <w:rFonts w:ascii="Calibri" w:hAnsi="Calibri" w:eastAsia="Calibri"/>
          <w:b/>
          <w:color w:val="1E3A5F"/>
          <w:sz w:val="54"/>
        </w:rPr>
        <w:t>Executive Summary</w:t>
      </w:r>
    </w:p>
    <w:p>
      <w:pPr>
        <w:widowControl/>
        <w:spacing w:after="80"/>
      </w:pPr>
      <w:r>
        <w:rPr>
          <w:rFonts w:ascii="Calibri" w:hAnsi="Calibri" w:eastAsia="Calibri"/>
          <w:b/>
          <w:color w:val="0F6F83"/>
          <w:sz w:val="30"/>
        </w:rPr>
        <w:t>Activity 1: AI Use-Case Prioritization</w:t>
      </w:r>
    </w:p>
    <w:p>
      <w:pPr>
        <w:spacing w:after="200"/>
        <w:widowControl/>
        <w:pBdr>
          <w:bottom w:val="single" w:sz="14" w:space="7" w:color="0F6F83"/>
        </w:pBdr>
      </w:pPr>
      <w:r>
        <w:rPr>
          <w:rFonts w:ascii="Calibri" w:hAnsi="Calibri" w:eastAsia="Calibri"/>
          <w:color w:val="667085"/>
          <w:sz w:val="19"/>
        </w:rPr>
        <w:t>Session date: July 20, 2026  |  22 table groups  |  86 use-case entries</w:t>
      </w:r>
    </w:p>
    <w:p>
      <w:pPr>
        <w:pStyle w:val="Heading1"/>
        <w:widowControl/>
      </w:pPr>
      <w:r>
        <w:t>Executive Summary</w:t>
      </w:r>
    </w:p>
    <w:p>
      <w:pPr>
        <w:pStyle w:val="ListBullet"/>
        <w:keepLines/>
        <w:widowControl/>
      </w:pPr>
      <w:r>
        <w:rPr>
          <w:rFonts w:ascii="Calibri" w:hAnsi="Calibri" w:eastAsia="Calibri"/>
          <w:b/>
          <w:color w:val="243447"/>
        </w:rPr>
        <w:t xml:space="preserve">Participants converged on mission-facing, practical applications. </w:t>
      </w:r>
      <w:r>
        <w:rPr>
          <w:rFonts w:ascii="Calibri" w:hAnsi="Calibri" w:eastAsia="Calibri"/>
          <w:color w:val="243447"/>
        </w:rPr>
        <w:t>Assessment, accreditation and outcomes (19 entries) and data, analytics and strategic planning (16) account for 35 of the 86 ideas. Assessment-related ideas appeared across 14 of 22 table groups, the broadest reach of any theme.</w:t>
      </w:r>
    </w:p>
    <w:p>
      <w:pPr>
        <w:pStyle w:val="ListBullet"/>
        <w:keepLines/>
        <w:widowControl/>
      </w:pPr>
      <w:r>
        <w:rPr>
          <w:rFonts w:ascii="Calibri" w:hAnsi="Calibri" w:eastAsia="Calibri"/>
          <w:b/>
          <w:color w:val="243447"/>
        </w:rPr>
        <w:t xml:space="preserve">The strongest signal is a portfolio, not a single enterprise bet. </w:t>
      </w:r>
      <w:r>
        <w:rPr>
          <w:rFonts w:ascii="Calibri" w:hAnsi="Calibri" w:eastAsia="Calibri"/>
          <w:color w:val="243447"/>
        </w:rPr>
        <w:t>Nineteen entries were explicitly marked as a top priority; seven were in data/analytics/planning, four in operational automation, and three in assessment/outcomes. This supports a small set of coordinated pilots across mission assurance, decision intelligence and service efficiency.</w:t>
      </w:r>
    </w:p>
    <w:p>
      <w:pPr>
        <w:pStyle w:val="ListBullet"/>
        <w:keepLines/>
        <w:widowControl/>
      </w:pPr>
      <w:r>
        <w:rPr>
          <w:rFonts w:ascii="Calibri" w:hAnsi="Calibri" w:eastAsia="Calibri"/>
          <w:b/>
          <w:color w:val="243447"/>
        </w:rPr>
        <w:t xml:space="preserve">Perceived value is high, but implementation risk remains material. </w:t>
      </w:r>
      <w:r>
        <w:rPr>
          <w:rFonts w:ascii="Calibri" w:hAnsi="Calibri" w:eastAsia="Calibri"/>
          <w:color w:val="243447"/>
        </w:rPr>
        <w:t>Among the 45 entries with a value rating, 34 were rated High. Among the 44 with a risk rating, 32 were rated Medium or High. Governance, training, human review and data controls should therefore be designed into pilots from the beginning.</w:t>
      </w:r>
    </w:p>
    <w:p>
      <w:pPr>
        <w:pStyle w:val="ListBullet"/>
        <w:keepLines/>
        <w:widowControl/>
      </w:pPr>
      <w:r>
        <w:rPr>
          <w:rFonts w:ascii="Calibri" w:hAnsi="Calibri" w:eastAsia="Calibri"/>
          <w:b/>
          <w:color w:val="243447"/>
        </w:rPr>
        <w:t xml:space="preserve">A second scoring pass is required before final investment decisions. </w:t>
      </w:r>
      <w:r>
        <w:rPr>
          <w:rFonts w:ascii="Calibri" w:hAnsi="Calibri" w:eastAsia="Calibri"/>
          <w:color w:val="243447"/>
        </w:rPr>
        <w:t>Only 34 entries contain all four worksheet criteria, and rating and priority notation varied by table. The current results are directionally strong but should be normalized, de-duplicated and assigned to accountable sponsors before funding or scaling.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Mar>
              <w:top w:w="125" w:type="dxa"/>
              <w:start w:w="110" w:type="dxa"/>
              <w:bottom w:w="125" w:type="dxa"/>
              <w:end w:w="110" w:type="dxa"/>
            </w:tcMar>
            <w:shd w:fill="EAF2F7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Calibri" w:hAnsi="Calibri" w:eastAsia="Calibri"/>
                <w:b/>
                <w:color w:val="1E3A5F"/>
                <w:sz w:val="42"/>
              </w:rPr>
              <w:t>22</w:t>
            </w:r>
            <w:r>
              <w:br/>
            </w:r>
            <w:r>
              <w:rPr>
                <w:rFonts w:ascii="Calibri" w:hAnsi="Calibri" w:eastAsia="Calibri"/>
                <w:b/>
                <w:color w:val="667085"/>
                <w:sz w:val="15"/>
              </w:rPr>
              <w:t>TABLE GROUPS</w:t>
            </w:r>
          </w:p>
        </w:tc>
        <w:tc>
          <w:tcPr>
            <w:tcW w:type="dxa" w:w="2340"/>
            <w:tcMar>
              <w:top w:w="125" w:type="dxa"/>
              <w:start w:w="110" w:type="dxa"/>
              <w:bottom w:w="125" w:type="dxa"/>
              <w:end w:w="110" w:type="dxa"/>
            </w:tcMar>
            <w:shd w:fill="E7F3F4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Calibri" w:hAnsi="Calibri" w:eastAsia="Calibri"/>
                <w:b/>
                <w:color w:val="1E3A5F"/>
                <w:sz w:val="42"/>
              </w:rPr>
              <w:t>86</w:t>
            </w:r>
            <w:r>
              <w:br/>
            </w:r>
            <w:r>
              <w:rPr>
                <w:rFonts w:ascii="Calibri" w:hAnsi="Calibri" w:eastAsia="Calibri"/>
                <w:b/>
                <w:color w:val="667085"/>
                <w:sz w:val="15"/>
              </w:rPr>
              <w:t>USE-CASE ENTRIES</w:t>
            </w:r>
          </w:p>
        </w:tc>
        <w:tc>
          <w:tcPr>
            <w:tcW w:type="dxa" w:w="2340"/>
            <w:tcMar>
              <w:top w:w="125" w:type="dxa"/>
              <w:start w:w="110" w:type="dxa"/>
              <w:bottom w:w="125" w:type="dxa"/>
              <w:end w:w="110" w:type="dxa"/>
            </w:tcMar>
            <w:shd w:fill="EAF2F7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Calibri" w:hAnsi="Calibri" w:eastAsia="Calibri"/>
                <w:b/>
                <w:color w:val="1E3A5F"/>
                <w:sz w:val="42"/>
              </w:rPr>
              <w:t>34</w:t>
            </w:r>
            <w:r>
              <w:br/>
            </w:r>
            <w:r>
              <w:rPr>
                <w:rFonts w:ascii="Calibri" w:hAnsi="Calibri" w:eastAsia="Calibri"/>
                <w:b/>
                <w:color w:val="667085"/>
                <w:sz w:val="15"/>
              </w:rPr>
              <w:t>COMPLETE 4-PART RATINGS</w:t>
            </w:r>
          </w:p>
        </w:tc>
        <w:tc>
          <w:tcPr>
            <w:tcW w:type="dxa" w:w="2340"/>
            <w:tcMar>
              <w:top w:w="125" w:type="dxa"/>
              <w:start w:w="110" w:type="dxa"/>
              <w:bottom w:w="125" w:type="dxa"/>
              <w:end w:w="110" w:type="dxa"/>
            </w:tcMar>
            <w:shd w:fill="E7F3F4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Calibri" w:hAnsi="Calibri" w:eastAsia="Calibri"/>
                <w:b/>
                <w:color w:val="1E3A5F"/>
                <w:sz w:val="42"/>
              </w:rPr>
              <w:t>19</w:t>
            </w:r>
            <w:r>
              <w:br/>
            </w:r>
            <w:r>
              <w:rPr>
                <w:rFonts w:ascii="Calibri" w:hAnsi="Calibri" w:eastAsia="Calibri"/>
                <w:b/>
                <w:color w:val="667085"/>
                <w:sz w:val="15"/>
              </w:rPr>
              <w:t>EXPLICIT TOP PRIORITIES</w:t>
            </w:r>
          </w:p>
        </w:tc>
      </w:tr>
    </w:tbl>
    <w:p>
      <w:pPr>
        <w:pStyle w:val="Heading1"/>
        <w:pageBreakBefore/>
        <w:widowControl/>
      </w:pPr>
      <w:r>
        <w:t>The ideas cluster around core institutional work</w:t>
      </w:r>
    </w:p>
    <w:p>
      <w:pPr>
        <w:widowControl/>
      </w:pPr>
      <w:r>
        <w:rPr>
          <w:rFonts w:ascii="Calibri" w:hAnsi="Calibri" w:eastAsia="Calibri"/>
          <w:b/>
          <w:color w:val="243447"/>
        </w:rPr>
        <w:t xml:space="preserve">The two largest themes represent 41% of all entries. </w:t>
      </w:r>
      <w:r>
        <w:rPr>
          <w:rFonts w:ascii="Calibri" w:hAnsi="Calibri" w:eastAsia="Calibri"/>
          <w:color w:val="243447"/>
        </w:rPr>
        <w:t>Assessment/outcomes was also the most broadly shared concern, while operations and teaching/faculty enablement each appeared across 11 table groups. The pattern suggests that AI interest is not confined to one office: it spans academic quality, planning, service delivery and workforce readiness.</w:t>
      </w:r>
    </w:p>
    <w:p>
      <w:pPr>
        <w:widowControl/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97880" cy="3333584"/>
            <wp:docPr id="1" name="Picture 1" title="Use cases by primary theme" descr="Horizontal bars show 19 assessment and outcomes entries, 16 data and planning, 13 operations and automation, 12 teaching and faculty enablement, 11 governance and readiness, 8 student success, and 7 communication and knowledge access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heme_distribution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333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pacing w:after="20"/>
        <w:jc w:val="center"/>
      </w:pPr>
      <w:r>
        <w:rPr>
          <w:rFonts w:ascii="Calibri" w:hAnsi="Calibri" w:eastAsia="Calibri"/>
          <w:i/>
          <w:color w:val="667085"/>
          <w:sz w:val="17"/>
        </w:rPr>
        <w:t>Figure 1. Count of use-case entries by analytic primary theme; labels also show the number of table groups represented.</w:t>
      </w:r>
    </w:p>
    <w:p>
      <w:pPr>
        <w:pStyle w:val="SourceNote"/>
        <w:widowControl/>
      </w:pPr>
      <w:r>
        <w:rPr>
          <w:rFonts w:ascii="Calibri" w:hAnsi="Calibri" w:eastAsia="Calibri"/>
          <w:i/>
          <w:color w:val="667085"/>
          <w:sz w:val="16"/>
        </w:rPr>
        <w:t>Source: All Tables Combined worksheet. Themes were assigned analytically for synthesis; they were not participant-provided categories.</w:t>
      </w:r>
    </w:p>
    <w:p>
      <w:pPr>
        <w:pStyle w:val="Heading1"/>
        <w:widowControl/>
      </w:pPr>
      <w:r>
        <w:t>Ratings show optimism, with uneven evidence depth</w:t>
      </w:r>
    </w:p>
    <w:p>
      <w:pPr>
        <w:widowControl/>
      </w:pPr>
      <w:r>
        <w:rPr>
          <w:rFonts w:ascii="Calibri" w:hAnsi="Calibri" w:eastAsia="Calibri"/>
          <w:b/>
          <w:color w:val="243447"/>
        </w:rPr>
        <w:t xml:space="preserve">High-value judgments were common where groups completed the ratings. </w:t>
      </w:r>
      <w:r>
        <w:rPr>
          <w:rFonts w:ascii="Calibri" w:hAnsi="Calibri" w:eastAsia="Calibri"/>
          <w:color w:val="243447"/>
        </w:rPr>
        <w:t>However, feasibility was recorded for only 37 entries and mission alignment for 36. The risk distribution is a meaningful counterweight: 13 of 44 rated entries were High risk, 19 Medium, 10 Low and 2 mixed. The institution should not treat missing ratings as favorable scores.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D8DEE6"/>
          <w:left w:val="single" w:sz="4" w:space="0" w:color="D8DEE6"/>
          <w:bottom w:val="single" w:sz="4" w:space="0" w:color="D8DEE6"/>
          <w:right w:val="single" w:sz="4" w:space="0" w:color="D8DEE6"/>
          <w:insideH w:val="single" w:sz="4" w:space="0" w:color="D8DEE6"/>
          <w:insideV w:val="single" w:sz="4" w:space="0" w:color="D8DEE6"/>
        </w:tblBorders>
      </w:tblPr>
      <w:tblGrid>
        <w:gridCol w:w="1800"/>
        <w:gridCol w:w="1500"/>
        <w:gridCol w:w="6060"/>
      </w:tblGrid>
      <w:tr>
        <w:trPr>
          <w:tblHeader w:val="true"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E3A5F"/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Criterion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E3A5F"/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Completed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shd w:fill="1E3A5F"/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8"/>
              </w:rPr>
              <w:t>Observed signal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Value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8"/>
              </w:rPr>
              <w:t>45 of 86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8"/>
              </w:rPr>
              <w:t>34 High; 8 Medium; 2 Low; 1 mixed</w:t>
            </w:r>
          </w:p>
        </w:tc>
      </w:tr>
      <w:tr>
        <w:trPr>
          <w:cantSplit/>
        </w:trPr>
        <w:tc>
          <w:tcPr>
            <w:tcW w:type="dxa" w:w="18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Feasibility</w:t>
            </w:r>
          </w:p>
        </w:tc>
        <w:tc>
          <w:tcPr>
            <w:tcW w:type="dxa" w:w="1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8"/>
              </w:rPr>
              <w:t>37 of 86</w:t>
            </w:r>
          </w:p>
        </w:tc>
        <w:tc>
          <w:tcPr>
            <w:tcW w:type="dxa" w:w="60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8"/>
              </w:rPr>
              <w:t>19 High; 12 Medium; 3 mixed; 3 qualitative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Risk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8"/>
              </w:rPr>
              <w:t>44 of 86</w:t>
            </w:r>
          </w:p>
        </w:tc>
        <w:tc>
          <w:tcPr>
            <w:tcW w:type="dxa" w:w="6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8"/>
              </w:rPr>
              <w:t>13 High; 19 Medium; 10 Low; 2 mixed</w:t>
            </w:r>
          </w:p>
        </w:tc>
      </w:tr>
      <w:tr>
        <w:trPr>
          <w:cantSplit/>
        </w:trPr>
        <w:tc>
          <w:tcPr>
            <w:tcW w:type="dxa" w:w="18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243447"/>
                <w:sz w:val="18"/>
              </w:rPr>
              <w:t>Mission alignment</w:t>
            </w:r>
          </w:p>
        </w:tc>
        <w:tc>
          <w:tcPr>
            <w:tcW w:type="dxa" w:w="1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Calibri" w:hAnsi="Calibri" w:eastAsia="Calibri"/>
                <w:b w:val="0"/>
                <w:color w:val="243447"/>
                <w:sz w:val="18"/>
              </w:rPr>
              <w:t>36 of 86</w:t>
            </w:r>
          </w:p>
        </w:tc>
        <w:tc>
          <w:tcPr>
            <w:tcW w:type="dxa" w:w="60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8"/>
              </w:rPr>
              <w:t>21 High; 8 Medium; 2 mixed; 5 qualitative/conditional</w:t>
            </w:r>
          </w:p>
        </w:tc>
      </w:tr>
    </w:tbl>
    <w:p>
      <w:pPr>
        <w:pStyle w:val="SourceNote"/>
        <w:widowControl/>
      </w:pPr>
      <w:r>
        <w:rPr>
          <w:rFonts w:ascii="Calibri" w:hAnsi="Calibri" w:eastAsia="Calibri"/>
          <w:i/>
          <w:color w:val="667085"/>
          <w:sz w:val="16"/>
        </w:rPr>
        <w:t>Completed counts reflect nonblank worksheet entries. Mixed and qualitative labels preserve participant wording rather than forcing incompatible scales into a single numeric score.</w:t>
      </w:r>
    </w:p>
    <w:p>
      <w:pPr>
        <w:pStyle w:val="Heading1"/>
        <w:pageBreakBefore/>
        <w:widowControl/>
      </w:pPr>
      <w:r>
        <w:t>The strongest path is a balanced pilot portfolio</w:t>
      </w:r>
    </w:p>
    <w:p>
      <w:pPr>
        <w:widowControl/>
      </w:pPr>
      <w:r>
        <w:rPr>
          <w:rFonts w:ascii="Calibri" w:hAnsi="Calibri" w:eastAsia="Calibri"/>
          <w:b/>
          <w:color w:val="243447"/>
        </w:rPr>
        <w:t xml:space="preserve">A four-lane portfolio captures the dominant ideas without overconcentrating risk. </w:t>
      </w:r>
      <w:r>
        <w:rPr>
          <w:rFonts w:ascii="Calibri" w:hAnsi="Calibri" w:eastAsia="Calibri"/>
          <w:color w:val="243447"/>
        </w:rPr>
        <w:t>The lanes below combine the most recurrent concepts with practical guardrails. They are a decision framework for the next round, not a final ranking of individual submissions.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D8DEE6"/>
          <w:left w:val="single" w:sz="4" w:space="0" w:color="D8DEE6"/>
          <w:bottom w:val="single" w:sz="4" w:space="0" w:color="D8DEE6"/>
          <w:right w:val="single" w:sz="4" w:space="0" w:color="D8DEE6"/>
          <w:insideH w:val="single" w:sz="4" w:space="0" w:color="D8DEE6"/>
          <w:insideV w:val="single" w:sz="4" w:space="0" w:color="D8DEE6"/>
        </w:tblBorders>
      </w:tblPr>
      <w:tblGrid>
        <w:gridCol w:w="1580"/>
        <w:gridCol w:w="3300"/>
        <w:gridCol w:w="2200"/>
        <w:gridCol w:w="2280"/>
      </w:tblGrid>
      <w:tr>
        <w:trPr>
          <w:tblHeader w:val="true"/>
        </w:trPr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shd w:fill="0F6F83"/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Pilot lane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shd w:fill="0F6F83"/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Representative use cases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shd w:fill="0F6F83"/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Why it matters</w:t>
            </w:r>
          </w:p>
        </w:tc>
        <w:tc>
          <w:tcPr>
            <w:tcW w:type="dxa" w:w="2280"/>
            <w:tcMar>
              <w:top w:w="80" w:type="dxa"/>
              <w:start w:w="120" w:type="dxa"/>
              <w:bottom w:w="80" w:type="dxa"/>
              <w:end w:w="120" w:type="dxa"/>
            </w:tcMar>
            <w:shd w:fill="0F6F83"/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FFFFFF"/>
                <w:sz w:val="17"/>
              </w:rPr>
              <w:t>Minimum guardrail</w:t>
            </w:r>
          </w:p>
        </w:tc>
      </w:tr>
      <w:tr>
        <w:trPr>
          <w:cantSplit/>
        </w:trPr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Mission assurance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6"/>
              </w:rPr>
              <w:t>Program outcomes assessment; program review; learning outcomes; accreditation review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6"/>
              </w:rPr>
              <w:t>Broadest cross-table theme and direct connection to institutional quality</w:t>
            </w:r>
          </w:p>
        </w:tc>
        <w:tc>
          <w:tcPr>
            <w:tcW w:type="dxa" w:w="2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6"/>
              </w:rPr>
              <w:t>Human academic review; audit trail; version-controlled evidence</w:t>
            </w:r>
          </w:p>
        </w:tc>
      </w:tr>
      <w:tr>
        <w:trPr>
          <w:cantSplit/>
        </w:trPr>
        <w:tc>
          <w:tcPr>
            <w:tcW w:type="dxa" w:w="1580"/>
            <w:shd w:fill="EAF2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Decision intelligence</w:t>
            </w:r>
          </w:p>
        </w:tc>
        <w:tc>
          <w:tcPr>
            <w:tcW w:type="dxa" w:w="3300"/>
            <w:shd w:fill="EAF2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6"/>
              </w:rPr>
              <w:t>Survey and trend analysis; dashboards; enrollment/budget forecasting; strategic-plan synthesis</w:t>
            </w:r>
          </w:p>
        </w:tc>
        <w:tc>
          <w:tcPr>
            <w:tcW w:type="dxa" w:w="2200"/>
            <w:shd w:fill="EAF2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6"/>
              </w:rPr>
              <w:t>Largest share of explicit top-priority cases</w:t>
            </w:r>
          </w:p>
        </w:tc>
        <w:tc>
          <w:tcPr>
            <w:tcW w:type="dxa" w:w="2280"/>
            <w:shd w:fill="EAF2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6"/>
              </w:rPr>
              <w:t>Defined data sources; privacy controls; accountable decision owner</w:t>
            </w:r>
          </w:p>
        </w:tc>
      </w:tr>
      <w:tr>
        <w:trPr>
          <w:cantSplit/>
        </w:trPr>
        <w:tc>
          <w:tcPr>
            <w:tcW w:type="dxa" w:w="15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Service and operations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6"/>
              </w:rPr>
              <w:t>Workflow automation; IT service desk; scheduling; forms/checklists; onboarding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6"/>
              </w:rPr>
              <w:t>Visible time savings and bounded processes can create early wins</w:t>
            </w:r>
          </w:p>
        </w:tc>
        <w:tc>
          <w:tcPr>
            <w:tcW w:type="dxa" w:w="2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6"/>
              </w:rPr>
              <w:t>Process owner; exception path; service-quality baseline</w:t>
            </w:r>
          </w:p>
        </w:tc>
      </w:tr>
      <w:tr>
        <w:trPr>
          <w:cantSplit/>
        </w:trPr>
        <w:tc>
          <w:tcPr>
            <w:tcW w:type="dxa" w:w="1580"/>
            <w:shd w:fill="EAF2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243447"/>
                <w:sz w:val="16"/>
              </w:rPr>
              <w:t>Learning and support</w:t>
            </w:r>
          </w:p>
        </w:tc>
        <w:tc>
          <w:tcPr>
            <w:tcW w:type="dxa" w:w="3300"/>
            <w:shd w:fill="EAF2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6"/>
              </w:rPr>
              <w:t>Early alerts; student support agents; LMS curriculum tools; ethical-AI assignments</w:t>
            </w:r>
          </w:p>
        </w:tc>
        <w:tc>
          <w:tcPr>
            <w:tcW w:type="dxa" w:w="2200"/>
            <w:shd w:fill="EAF2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6"/>
              </w:rPr>
              <w:t>Strong mission alignment with potential student and faculty benefit</w:t>
            </w:r>
          </w:p>
        </w:tc>
        <w:tc>
          <w:tcPr>
            <w:tcW w:type="dxa" w:w="2280"/>
            <w:shd w:fill="EAF2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 w:val="0"/>
                <w:color w:val="243447"/>
                <w:sz w:val="16"/>
              </w:rPr>
              <w:t>FERPA/data minimization; bias review; transparency; accessibility</w:t>
            </w:r>
          </w:p>
        </w:tc>
      </w:tr>
    </w:tbl>
    <w:p>
      <w:pPr>
        <w:pStyle w:val="SourceNote"/>
        <w:widowControl/>
      </w:pPr>
      <w:r>
        <w:rPr>
          <w:rFonts w:ascii="Calibri" w:hAnsi="Calibri" w:eastAsia="Calibri"/>
          <w:i/>
          <w:color w:val="667085"/>
          <w:sz w:val="16"/>
        </w:rPr>
        <w:t>Source: cross-table synthesis of the aggregated worksheet. Examples are representative and do not replace the complete workbook inventory.</w:t>
      </w:r>
    </w:p>
    <w:p>
      <w:pPr>
        <w:pStyle w:val="Heading1"/>
        <w:widowControl/>
      </w:pPr>
      <w:r>
        <w:t>Recommended next steps</w:t>
      </w:r>
    </w:p>
    <w:p>
      <w:pPr>
        <w:pStyle w:val="ListNumber"/>
        <w:keepLines/>
        <w:widowControl/>
      </w:pPr>
      <w:r>
        <w:rPr>
          <w:rFonts w:ascii="Calibri" w:hAnsi="Calibri" w:eastAsia="Calibri"/>
          <w:b/>
          <w:color w:val="243447"/>
        </w:rPr>
        <w:t xml:space="preserve">Shortlist and re-score six to eight candidates. </w:t>
      </w:r>
      <w:r>
        <w:rPr>
          <w:rFonts w:ascii="Calibri" w:hAnsi="Calibri" w:eastAsia="Calibri"/>
          <w:color w:val="243447"/>
        </w:rPr>
        <w:t>De-duplicate similar ideas, retain representation across the four portfolio lanes, and apply one common 1-5 rubric for value, feasibility, risk and mission alignment.</w:t>
      </w:r>
    </w:p>
    <w:p>
      <w:pPr>
        <w:pStyle w:val="ListNumber"/>
        <w:keepLines/>
        <w:widowControl/>
      </w:pPr>
      <w:r>
        <w:rPr>
          <w:rFonts w:ascii="Calibri" w:hAnsi="Calibri" w:eastAsia="Calibri"/>
          <w:b/>
          <w:color w:val="243447"/>
        </w:rPr>
        <w:t xml:space="preserve">Add implementation evidence. </w:t>
      </w:r>
      <w:r>
        <w:rPr>
          <w:rFonts w:ascii="Calibri" w:hAnsi="Calibri" w:eastAsia="Calibri"/>
          <w:color w:val="243447"/>
        </w:rPr>
        <w:t>For each candidate, name an executive sponsor and process owner; identify data sources, approved tools, dependencies, expected time-to-value and affected stakeholders.</w:t>
      </w:r>
    </w:p>
    <w:p>
      <w:pPr>
        <w:pStyle w:val="ListNumber"/>
        <w:keepLines/>
        <w:widowControl/>
      </w:pPr>
      <w:r>
        <w:rPr>
          <w:rFonts w:ascii="Calibri" w:hAnsi="Calibri" w:eastAsia="Calibri"/>
          <w:b/>
          <w:color w:val="243447"/>
        </w:rPr>
        <w:t xml:space="preserve">Select two or three 90-day pilots. </w:t>
      </w:r>
      <w:r>
        <w:rPr>
          <w:rFonts w:ascii="Calibri" w:hAnsi="Calibri" w:eastAsia="Calibri"/>
          <w:color w:val="243447"/>
        </w:rPr>
        <w:t>Favor bounded workflows with usable data, measurable baselines and a human decision-maker. Include at least one mission-assurance pilot and one operational or decision-intelligence pilot.</w:t>
      </w:r>
    </w:p>
    <w:p>
      <w:pPr>
        <w:pStyle w:val="ListNumber"/>
        <w:keepLines/>
        <w:widowControl/>
      </w:pPr>
      <w:r>
        <w:rPr>
          <w:rFonts w:ascii="Calibri" w:hAnsi="Calibri" w:eastAsia="Calibri"/>
          <w:b/>
          <w:color w:val="243447"/>
        </w:rPr>
        <w:t xml:space="preserve">Build governance and enablement into the pilots. </w:t>
      </w:r>
      <w:r>
        <w:rPr>
          <w:rFonts w:ascii="Calibri" w:hAnsi="Calibri" w:eastAsia="Calibri"/>
          <w:color w:val="243447"/>
        </w:rPr>
        <w:t>Define approved uses, data classification, vendor review, human-in-the-loop expectations, accessibility, training and incident escalation before launch.</w:t>
      </w:r>
    </w:p>
    <w:p>
      <w:pPr>
        <w:pStyle w:val="ListNumber"/>
        <w:keepLines/>
        <w:widowControl/>
      </w:pPr>
      <w:r>
        <w:rPr>
          <w:rFonts w:ascii="Calibri" w:hAnsi="Calibri" w:eastAsia="Calibri"/>
          <w:b/>
          <w:color w:val="243447"/>
        </w:rPr>
        <w:t xml:space="preserve">Use evidence to scale, revise or stop. </w:t>
      </w:r>
      <w:r>
        <w:rPr>
          <w:rFonts w:ascii="Calibri" w:hAnsi="Calibri" w:eastAsia="Calibri"/>
          <w:color w:val="243447"/>
        </w:rPr>
        <w:t>At the end of each pilot, review quality, time saved, adoption, equity, privacy/security events and stakeholder experience. Scale only when benefits are repeatable and controls are working.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8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360"/>
      </w:tblGrid>
      <w:tr>
        <w:tc>
          <w:tcPr>
            <w:tcW w:type="dxa" w:w="9360"/>
            <w:tcMar>
              <w:top w:w="160" w:type="dxa"/>
              <w:start w:w="180" w:type="dxa"/>
              <w:bottom w:w="160" w:type="dxa"/>
              <w:end w:w="180" w:type="dxa"/>
            </w:tcMar>
            <w:shd w:fill="E7F3F4"/>
            <w:vAlign w:val="center"/>
          </w:tcPr>
          <w:p>
            <w:pPr>
              <w:widowControl/>
              <w:spacing w:after="0"/>
            </w:pPr>
            <w:r>
              <w:rPr>
                <w:rFonts w:ascii="Calibri" w:hAnsi="Calibri" w:eastAsia="Calibri"/>
                <w:b/>
                <w:color w:val="1E3A5F"/>
                <w:sz w:val="21"/>
              </w:rPr>
              <w:t xml:space="preserve">Suggested 90-day decision gate: </w:t>
            </w:r>
            <w:r>
              <w:rPr>
                <w:rFonts w:ascii="Calibri" w:hAnsi="Calibri" w:eastAsia="Calibri"/>
                <w:color w:val="243447"/>
                <w:sz w:val="21"/>
              </w:rPr>
              <w:t>advance a pilot only if it has a named owner, approved data path, measurable baseline, human review step and documented stop condition.</w:t>
            </w:r>
          </w:p>
        </w:tc>
      </w:tr>
    </w:tbl>
    <w:p>
      <w:pPr>
        <w:pStyle w:val="Heading1"/>
        <w:widowControl/>
      </w:pPr>
      <w:r>
        <w:t>Questions leadership should resolve</w:t>
      </w:r>
    </w:p>
    <w:p>
      <w:pPr>
        <w:pStyle w:val="ListBullet"/>
        <w:widowControl/>
      </w:pPr>
      <w:r>
        <w:rPr>
          <w:rFonts w:ascii="Calibri" w:hAnsi="Calibri" w:eastAsia="Calibri"/>
          <w:color w:val="243447"/>
        </w:rPr>
        <w:t>Which candidate use cases already have a sponsor, process owner and accessible data?</w:t>
      </w:r>
    </w:p>
    <w:p>
      <w:pPr>
        <w:pStyle w:val="ListBullet"/>
        <w:widowControl/>
      </w:pPr>
      <w:r>
        <w:rPr>
          <w:rFonts w:ascii="Calibri" w:hAnsi="Calibri" w:eastAsia="Calibri"/>
          <w:color w:val="243447"/>
        </w:rPr>
        <w:t>Which tools and data classifications are approved today, and where would procurement or security review delay a pilot?</w:t>
      </w:r>
    </w:p>
    <w:p>
      <w:pPr>
        <w:pStyle w:val="ListBullet"/>
        <w:widowControl/>
      </w:pPr>
      <w:r>
        <w:rPr>
          <w:rFonts w:ascii="Calibri" w:hAnsi="Calibri" w:eastAsia="Calibri"/>
          <w:color w:val="243447"/>
        </w:rPr>
        <w:t>What baseline metrics will show that a pilot improves quality, service, efficiency or student outcomes without creating unacceptable risk?</w:t>
      </w:r>
    </w:p>
    <w:p>
      <w:pPr>
        <w:pStyle w:val="Heading1"/>
        <w:widowControl/>
      </w:pPr>
      <w:r>
        <w:t>Method and limitations</w:t>
      </w:r>
    </w:p>
    <w:p>
      <w:pPr>
        <w:pStyle w:val="ListBullet"/>
        <w:widowControl/>
      </w:pPr>
      <w:r>
        <w:rPr>
          <w:rFonts w:ascii="Calibri" w:hAnsi="Calibri" w:eastAsia="Calibri"/>
          <w:color w:val="243447"/>
          <w:sz w:val="19"/>
        </w:rPr>
        <w:t>The analysis covers 86 transcribed poster entries from 22 table groups in the July 20, 2026 Activity 1 session.</w:t>
      </w:r>
    </w:p>
    <w:p>
      <w:pPr>
        <w:pStyle w:val="ListBullet"/>
        <w:widowControl/>
      </w:pPr>
      <w:r>
        <w:rPr>
          <w:rFonts w:ascii="Calibri" w:hAnsi="Calibri" w:eastAsia="Calibri"/>
          <w:color w:val="243447"/>
          <w:sz w:val="19"/>
        </w:rPr>
        <w:t>Entries are brainstorming outputs, not fully specified or de-duplicated business cases; similar ideas may appear more than once.</w:t>
      </w:r>
    </w:p>
    <w:p>
      <w:pPr>
        <w:pStyle w:val="ListBullet"/>
        <w:widowControl/>
      </w:pPr>
      <w:r>
        <w:rPr>
          <w:rFonts w:ascii="Calibri" w:hAnsi="Calibri" w:eastAsia="Calibri"/>
          <w:color w:val="243447"/>
          <w:sz w:val="19"/>
        </w:rPr>
        <w:t>Ratings were optional or inconsistently expressed. Only 34 entries contained Value, Feasibility, Risk and Mission Alignment together; priority notation also varied by table.</w:t>
      </w:r>
    </w:p>
    <w:p>
      <w:pPr>
        <w:pStyle w:val="ListBullet"/>
        <w:widowControl/>
      </w:pPr>
      <w:r>
        <w:rPr>
          <w:rFonts w:ascii="Calibri" w:hAnsi="Calibri" w:eastAsia="Calibri"/>
          <w:color w:val="243447"/>
          <w:sz w:val="19"/>
        </w:rPr>
        <w:t>The seven primary themes were assigned analytically for synthesis, with each entry counted once. Transcription uncertainties remain documented in the source workbook.</w:t>
      </w:r>
    </w:p>
    <w:p>
      <w:pPr>
        <w:spacing w:before="160" w:after="0"/>
        <w:widowControl/>
        <w:pBdr>
          <w:left w:val="single" w:sz="18" w:space="8" w:color="0F6F83"/>
        </w:pBdr>
      </w:pPr>
      <w:r>
        <w:rPr>
          <w:rFonts w:ascii="Calibri" w:hAnsi="Calibri" w:eastAsia="Calibri"/>
          <w:b/>
          <w:color w:val="1E3A5F"/>
          <w:sz w:val="22"/>
        </w:rPr>
        <w:t xml:space="preserve">Bottom line: </w:t>
      </w:r>
      <w:r>
        <w:rPr>
          <w:rFonts w:ascii="Calibri" w:hAnsi="Calibri" w:eastAsia="Calibri"/>
          <w:color w:val="243447"/>
          <w:sz w:val="22"/>
        </w:rPr>
        <w:t>The session produced a credible institutional AI opportunity portfolio. The immediate leadership task is to convert the strongest recurring ideas into a small, governed set of measurable pilots - while preserving the human judgment, mission alignment and accountability that participants repeatedly emphasized.</w:t>
      </w:r>
    </w:p>
    <w:p>
      <w:pPr>
        <w:pStyle w:val="SourceNote"/>
        <w:widowControl/>
      </w:pPr>
      <w:r>
        <w:rPr>
          <w:rFonts w:ascii="Calibri" w:hAnsi="Calibri" w:eastAsia="Calibri"/>
          <w:i/>
          <w:color w:val="667085"/>
          <w:sz w:val="16"/>
        </w:rPr>
        <w:t>Primary source: Napier_Activity1_Use_Case_Prioritization_Results_20260720.xlsx, All Tables Combined worksheet.</w:t>
      </w: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right"/>
    </w:pPr>
    <w:r>
      <w:rPr>
        <w:rFonts w:ascii="Calibri" w:hAnsi="Calibri" w:eastAsia="Calibri"/>
        <w:color w:val="667085"/>
        <w:sz w:val="16"/>
      </w:rPr>
      <w:t xml:space="preserve">MAIN  |  Page </w:t>
    </w:r>
    <w:r>
      <w:rPr>
        <w:rFonts w:ascii="Calibri" w:hAnsi="Calibri" w:eastAsia="Calibri"/>
        <w:color w:val="667085"/>
        <w:sz w:val="16"/>
      </w:rPr>
      <w:fldChar w:fldCharType="begin"/>
      <w:instrText xml:space="preserve"> PAGE </w:instrText>
      <w:fldChar w:fldCharType="separate"/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right"/>
    </w:pPr>
    <w:r>
      <w:rPr>
        <w:rFonts w:ascii="Calibri" w:hAnsi="Calibri" w:eastAsia="Calibri"/>
        <w:color w:val="667085"/>
        <w:sz w:val="16"/>
      </w:rPr>
      <w:t xml:space="preserve">MAIN  |  Page </w:t>
    </w:r>
    <w:r>
      <w:rPr>
        <w:rFonts w:ascii="Calibri" w:hAnsi="Calibri" w:eastAsia="Calibri"/>
        <w:color w:val="667085"/>
        <w:sz w:val="16"/>
      </w:rPr>
      <w:fldChar w:fldCharType="begin"/>
      <w:instrText xml:space="preserve"> PAGE </w:instrText>
      <w:fldChar w:fldCharType="separate"/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  <w:pBdr>
        <w:bottom w:val="single" w:sz="4" w:space="2" w:color="D8DEE6"/>
      </w:pBdr>
    </w:pPr>
    <w:r>
      <w:rPr>
        <w:rFonts w:ascii="Calibri" w:hAnsi="Calibri" w:eastAsia="Calibri"/>
        <w:b/>
        <w:color w:val="0F6F83"/>
        <w:sz w:val="16"/>
      </w:rPr>
      <w:t>ACTIVITY 1 EXECUTIVE SUMMARY  |  JULY 20, 2026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  <w:pBdr>
        <w:bottom w:val="single" w:sz="4" w:space="2" w:color="D8DEE6"/>
      </w:pBdr>
    </w:pPr>
    <w:r>
      <w:rPr>
        <w:rFonts w:ascii="Calibri" w:hAnsi="Calibri" w:eastAsia="Calibri"/>
        <w:b/>
        <w:color w:val="0F6F83"/>
        <w:sz w:val="16"/>
      </w:rPr>
      <w:t>ACTIVITY 1 EXECUTIVE SUMMARY  |  JULY 20, 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24344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E3A5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color w:val="243447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color w:val="243447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ourceNote">
    <w:name w:val="Source Note"/>
    <w:pPr>
      <w:spacing w:before="80" w:after="80"/>
    </w:pPr>
    <w:rPr>
      <w:rFonts w:ascii="Calibri" w:hAnsi="Calibri"/>
      <w:i/>
      <w:color w:val="667085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Summary - Activity 1: AI Use-Case Prioritization</dc:title>
  <dc:subject>Aggregated results from the July 20, 2026 Use-Case Prioritization activity</dc:subject>
  <dc:creator>Mississippi Artificial Intelligence Network (MAIN)</dc:creator>
  <cp:keywords>AI, use-case prioritization, SACSCOC, executive summary, institutional strategy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